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FA601" w14:textId="1AF33031" w:rsidR="00334062" w:rsidRPr="00BC42DD" w:rsidRDefault="00BC42DD" w:rsidP="00BC42DD">
      <w:pPr>
        <w:jc w:val="center"/>
        <w:rPr>
          <w:b/>
        </w:rPr>
      </w:pPr>
      <w:r w:rsidRPr="00BC42DD">
        <w:rPr>
          <w:b/>
        </w:rPr>
        <w:t>UZASADNIENIE</w:t>
      </w:r>
    </w:p>
    <w:p w14:paraId="13649F05" w14:textId="77777777" w:rsidR="00BC42DD" w:rsidRDefault="00BC42DD"/>
    <w:p w14:paraId="07155289" w14:textId="7253C976" w:rsidR="00BC42DD" w:rsidRDefault="00BC42DD" w:rsidP="00BC42DD">
      <w:pPr>
        <w:ind w:firstLine="567"/>
        <w:jc w:val="both"/>
      </w:pPr>
      <w:r>
        <w:t xml:space="preserve">Zgodnie z art. 270 ust.4 ustawy o finansach publicznych : „Organ stanowiący jednostki samorządu terytorialnego zatwierdza sprawozdania finansowe jednostki samorządu terytorialnego wraz ze sprawozdaniem z wykonania budżetu, w terminie do 30 czerwca roku następującego po roku budżetowych”. </w:t>
      </w:r>
    </w:p>
    <w:p w14:paraId="683BFBDC" w14:textId="1F329390" w:rsidR="00BC42DD" w:rsidRDefault="00BC42DD" w:rsidP="00BC42DD">
      <w:pPr>
        <w:ind w:firstLine="567"/>
        <w:jc w:val="both"/>
      </w:pPr>
      <w:r>
        <w:t>W związku z powyższym przedstawienie przedmiotowego projektu uchwały Rady Gminy Choceń jest zasadne.</w:t>
      </w:r>
      <w:bookmarkStart w:id="0" w:name="_GoBack"/>
      <w:bookmarkEnd w:id="0"/>
    </w:p>
    <w:sectPr w:rsidR="00BC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B"/>
    <w:rsid w:val="00004B2A"/>
    <w:rsid w:val="00105D4B"/>
    <w:rsid w:val="00334062"/>
    <w:rsid w:val="00B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FAA6"/>
  <w15:chartTrackingRefBased/>
  <w15:docId w15:val="{E3620297-16DF-46D0-A93C-10B1755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2</cp:revision>
  <dcterms:created xsi:type="dcterms:W3CDTF">2019-05-24T07:23:00Z</dcterms:created>
  <dcterms:modified xsi:type="dcterms:W3CDTF">2019-05-24T07:32:00Z</dcterms:modified>
</cp:coreProperties>
</file>