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387E4" w14:textId="77777777" w:rsidR="0037420C" w:rsidRDefault="0037420C" w:rsidP="0037420C">
      <w:pPr>
        <w:ind w:left="4860"/>
      </w:pPr>
      <w:r>
        <w:t>Załącznik 1 do Zarządzenia Nr 79/19</w:t>
      </w:r>
    </w:p>
    <w:p w14:paraId="1250F392" w14:textId="77777777" w:rsidR="0037420C" w:rsidRDefault="0037420C" w:rsidP="0037420C">
      <w:pPr>
        <w:ind w:left="4860"/>
      </w:pPr>
      <w:r>
        <w:t xml:space="preserve">Wójta Gminy Choceń </w:t>
      </w:r>
      <w:r>
        <w:br/>
        <w:t>z dnia 25 września 2019 roku</w:t>
      </w:r>
    </w:p>
    <w:p w14:paraId="469CF54A" w14:textId="77777777" w:rsidR="0037420C" w:rsidRDefault="0037420C" w:rsidP="0037420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Założenia do projektu budżetu gminy Choceń na 2020 Rok </w:t>
      </w:r>
      <w:r>
        <w:rPr>
          <w:b/>
          <w:sz w:val="28"/>
          <w:szCs w:val="28"/>
        </w:rPr>
        <w:br/>
      </w:r>
    </w:p>
    <w:p w14:paraId="0E7AFC24" w14:textId="77777777" w:rsidR="0037420C" w:rsidRDefault="0037420C" w:rsidP="0037420C">
      <w:r>
        <w:t>Budżet Gminy Choceń na rok 2020 konstruowany w pełnej szczegółowości  w oparciu o obowiązujące przepisy prawne, w tym szczególności :</w:t>
      </w:r>
    </w:p>
    <w:p w14:paraId="1F27A5E8" w14:textId="77777777" w:rsidR="0037420C" w:rsidRDefault="0037420C" w:rsidP="0037420C">
      <w:r>
        <w:t xml:space="preserve">- ustawy o finansach publicznych /tekst jednolity: Dz.U.2019.869 z </w:t>
      </w:r>
      <w:proofErr w:type="spellStart"/>
      <w:r>
        <w:t>z</w:t>
      </w:r>
      <w:proofErr w:type="spellEnd"/>
      <w:r>
        <w:t xml:space="preserve"> późniejszymi zmianami / </w:t>
      </w:r>
    </w:p>
    <w:p w14:paraId="4F146AEE" w14:textId="77777777" w:rsidR="0037420C" w:rsidRDefault="0037420C" w:rsidP="0037420C">
      <w:r>
        <w:t>- ustawy o dochodach jednostek samorządu terytorialnego  DZ.U.2018.1530 z późniejszymi zmianami ,</w:t>
      </w:r>
    </w:p>
    <w:p w14:paraId="5D570866" w14:textId="77777777" w:rsidR="0037420C" w:rsidRDefault="0037420C" w:rsidP="0037420C">
      <w:r>
        <w:t>- ustawy o samorządzie gminnym: Dz.U. z 2019 r. poz. 506 z póz. Zm.</w:t>
      </w:r>
    </w:p>
    <w:p w14:paraId="6EEA0605" w14:textId="77777777" w:rsidR="0037420C" w:rsidRDefault="0037420C" w:rsidP="0037420C">
      <w:r>
        <w:br/>
        <w:t xml:space="preserve">Podstawowymi założeniami przy konstrukcji budżetu będą: </w:t>
      </w:r>
    </w:p>
    <w:p w14:paraId="22F5ED46" w14:textId="77777777" w:rsidR="0037420C" w:rsidRDefault="0037420C" w:rsidP="0037420C">
      <w:r>
        <w:br/>
        <w:t xml:space="preserve">-obowiązujące obecnie przepisy prawa w odniesieniu do zadań i sposobu finansowania gminy </w:t>
      </w:r>
    </w:p>
    <w:p w14:paraId="4F9C48DB" w14:textId="77777777" w:rsidR="0037420C" w:rsidRDefault="0037420C" w:rsidP="0037420C">
      <w:r>
        <w:t xml:space="preserve">- przewidywane przez Ministerstwo Finansów kierunki rozwoju sytuacji gospodarczej w kraju, w tym prognozowane parametry makroekonomiczne </w:t>
      </w:r>
    </w:p>
    <w:p w14:paraId="39A3DCC4" w14:textId="77777777" w:rsidR="0037420C" w:rsidRDefault="0037420C" w:rsidP="0037420C">
      <w:r>
        <w:t xml:space="preserve">-przewidywane zmiany czynników wewnętrznych , w tym lokalnej polityki w zakresie podatków i opłat,  </w:t>
      </w:r>
    </w:p>
    <w:p w14:paraId="5E59118F" w14:textId="77777777" w:rsidR="0037420C" w:rsidRDefault="0037420C" w:rsidP="0037420C">
      <w:r>
        <w:t xml:space="preserve">-analiza założeń pod kątem zachowania stabilności finansowej Gminy dotyczących kształtowania się takich parametrów budżetowych jak: </w:t>
      </w:r>
    </w:p>
    <w:p w14:paraId="1A038A4C" w14:textId="77777777" w:rsidR="0037420C" w:rsidRDefault="0037420C" w:rsidP="0037420C">
      <w:r>
        <w:t xml:space="preserve">a/ wysokość deficytu, </w:t>
      </w:r>
      <w:r>
        <w:br/>
        <w:t xml:space="preserve">b/wynik bieżący budżetu rozumiany jako różnica między dochodami a wydatkami bieżącymi w kontekście przepisu art.242 ustawy o finansach publicznych, który wprowadza zasadę bilansowania się budżetu operacyjnego począwszy od 2011 roku, </w:t>
      </w:r>
      <w:r>
        <w:br/>
        <w:t xml:space="preserve">c/poziom zadłużenia w aspekcie obowiązujących i przyszłych norm ostrożnościowych, </w:t>
      </w:r>
      <w:r>
        <w:br/>
        <w:t xml:space="preserve">d/koszty obsługi długu w kontekście wzrostu ryzyka stóp procentowych w związku z niestabilną sytuacją na rynkach finansowych, </w:t>
      </w:r>
      <w:r>
        <w:br/>
        <w:t xml:space="preserve">e/ planowana absorpcja środków z Unii Europejskiej </w:t>
      </w:r>
      <w:r>
        <w:br/>
      </w:r>
      <w:r>
        <w:br/>
      </w:r>
    </w:p>
    <w:p w14:paraId="14DD35F1" w14:textId="77777777" w:rsidR="0037420C" w:rsidRDefault="0037420C" w:rsidP="0037420C">
      <w:pPr>
        <w:rPr>
          <w:sz w:val="32"/>
          <w:szCs w:val="32"/>
        </w:rPr>
      </w:pPr>
      <w:r>
        <w:rPr>
          <w:sz w:val="32"/>
          <w:szCs w:val="32"/>
        </w:rPr>
        <w:t>I.. Zakładane zmiany organizacyjne:</w:t>
      </w:r>
      <w:r>
        <w:rPr>
          <w:sz w:val="32"/>
          <w:szCs w:val="32"/>
        </w:rPr>
        <w:br/>
        <w:t>---------------</w:t>
      </w:r>
    </w:p>
    <w:p w14:paraId="056B181A" w14:textId="77777777" w:rsidR="0037420C" w:rsidRDefault="0037420C" w:rsidP="0037420C">
      <w:pPr>
        <w:rPr>
          <w:sz w:val="32"/>
          <w:szCs w:val="32"/>
        </w:rPr>
      </w:pPr>
      <w:r>
        <w:br/>
      </w:r>
      <w:r>
        <w:rPr>
          <w:sz w:val="32"/>
          <w:szCs w:val="32"/>
        </w:rPr>
        <w:t>II.. Stawki podatków, opłat lokalnych i cen za usługi komunalne :</w:t>
      </w:r>
      <w:r>
        <w:rPr>
          <w:sz w:val="32"/>
          <w:szCs w:val="32"/>
        </w:rPr>
        <w:br/>
      </w:r>
    </w:p>
    <w:p w14:paraId="78883DBC" w14:textId="77777777" w:rsidR="0037420C" w:rsidRDefault="0037420C" w:rsidP="0037420C">
      <w:r>
        <w:t xml:space="preserve">W zakresie uchwał około budżetowych określających stawki podatków, opłat i cen za usługi komunalne przyjmuje się, że: </w:t>
      </w:r>
      <w:r>
        <w:br/>
      </w:r>
    </w:p>
    <w:p w14:paraId="1DB56084" w14:textId="77777777" w:rsidR="0037420C" w:rsidRDefault="0037420C" w:rsidP="0037420C">
      <w:pPr>
        <w:ind w:left="540" w:hanging="540"/>
      </w:pPr>
      <w:r>
        <w:t>1/ stawki podatku od nieruchomości pozostają na poziomie roku 2019</w:t>
      </w:r>
    </w:p>
    <w:p w14:paraId="52446E4F" w14:textId="77777777" w:rsidR="0037420C" w:rsidRDefault="0037420C" w:rsidP="0037420C">
      <w:r>
        <w:t xml:space="preserve">2/ stawki podatku od środków transportowych na poziomie 2019 roku </w:t>
      </w:r>
    </w:p>
    <w:p w14:paraId="2648BC0B" w14:textId="77777777" w:rsidR="0037420C" w:rsidRDefault="0037420C" w:rsidP="0037420C">
      <w:pPr>
        <w:ind w:left="540" w:hanging="540"/>
      </w:pPr>
      <w:r>
        <w:t>3/ stawki podatku rolnego i leśnego przewidywany na poziomie roku 2019</w:t>
      </w:r>
    </w:p>
    <w:p w14:paraId="4F62C8B0" w14:textId="77777777" w:rsidR="0037420C" w:rsidRDefault="0037420C" w:rsidP="0037420C">
      <w:r>
        <w:t xml:space="preserve">4/ opłaty lokalne oraz ceny za usługi komunalne i korzystanie z urządzeń komunalnych: </w:t>
      </w:r>
      <w:r>
        <w:br/>
        <w:t xml:space="preserve">- opłata targowa - na poziomie 2019 roku, </w:t>
      </w:r>
    </w:p>
    <w:p w14:paraId="1BB9E7D9" w14:textId="77777777" w:rsidR="0037420C" w:rsidRDefault="0037420C" w:rsidP="0037420C">
      <w:pPr>
        <w:ind w:left="540" w:hanging="540"/>
      </w:pPr>
      <w:r>
        <w:t>- czynsze za lokale mieszkalne na poziomie 2019 roku</w:t>
      </w:r>
    </w:p>
    <w:p w14:paraId="4600367D" w14:textId="77777777" w:rsidR="0037420C" w:rsidRDefault="0037420C" w:rsidP="0037420C">
      <w:r>
        <w:t>- opłata za ścieki na poziomie 2019 roku ,</w:t>
      </w:r>
    </w:p>
    <w:p w14:paraId="11373E44" w14:textId="77777777" w:rsidR="0037420C" w:rsidRDefault="0037420C" w:rsidP="0037420C">
      <w:r>
        <w:t>- opłata za wodę na poziomie 2019 roku.</w:t>
      </w:r>
    </w:p>
    <w:p w14:paraId="0F5C7CEA" w14:textId="77777777" w:rsidR="0037420C" w:rsidRDefault="0037420C" w:rsidP="0037420C">
      <w:r>
        <w:lastRenderedPageBreak/>
        <w:t>- opłata za wywóz śmieci na poziomie 2019roku</w:t>
      </w:r>
      <w:r>
        <w:br/>
      </w:r>
    </w:p>
    <w:p w14:paraId="6A30D80D" w14:textId="77777777" w:rsidR="0037420C" w:rsidRDefault="0037420C" w:rsidP="0037420C"/>
    <w:p w14:paraId="6EDD49A7" w14:textId="77777777" w:rsidR="0037420C" w:rsidRDefault="0037420C" w:rsidP="0037420C">
      <w:pPr>
        <w:rPr>
          <w:sz w:val="32"/>
          <w:szCs w:val="32"/>
        </w:rPr>
      </w:pPr>
      <w:r>
        <w:rPr>
          <w:sz w:val="32"/>
          <w:szCs w:val="32"/>
        </w:rPr>
        <w:t>III.. Dochody budżetowe :</w:t>
      </w:r>
      <w:r>
        <w:rPr>
          <w:sz w:val="32"/>
          <w:szCs w:val="32"/>
        </w:rPr>
        <w:br/>
      </w:r>
    </w:p>
    <w:p w14:paraId="3A5F9131" w14:textId="77777777" w:rsidR="0037420C" w:rsidRDefault="0037420C" w:rsidP="0037420C">
      <w:r>
        <w:t>1 .Dochody budżetu Gminy skalkulowane zostaną na podstawie :</w:t>
      </w:r>
    </w:p>
    <w:p w14:paraId="7F51D2A6" w14:textId="77777777" w:rsidR="0037420C" w:rsidRDefault="0037420C" w:rsidP="0037420C">
      <w:pPr>
        <w:ind w:left="540"/>
      </w:pPr>
      <w:r>
        <w:t xml:space="preserve"> - szacunków własnych opartych na: </w:t>
      </w:r>
    </w:p>
    <w:p w14:paraId="010B1FF2" w14:textId="77777777" w:rsidR="0037420C" w:rsidRDefault="0037420C" w:rsidP="0037420C">
      <w:pPr>
        <w:ind w:left="1440"/>
      </w:pPr>
      <w:r>
        <w:t xml:space="preserve">a) założeniach ogólnych, </w:t>
      </w:r>
    </w:p>
    <w:p w14:paraId="22D54149" w14:textId="77777777" w:rsidR="0037420C" w:rsidRDefault="0037420C" w:rsidP="0037420C">
      <w:pPr>
        <w:ind w:left="1440"/>
      </w:pPr>
      <w:r>
        <w:t xml:space="preserve">b) analizie wykonania 2018 roku i przewidywanego wykonania w </w:t>
      </w:r>
      <w:r>
        <w:br/>
        <w:t>roku 2019</w:t>
      </w:r>
    </w:p>
    <w:p w14:paraId="6A36541A" w14:textId="77777777" w:rsidR="0037420C" w:rsidRDefault="0037420C" w:rsidP="0037420C">
      <w:pPr>
        <w:ind w:left="1440"/>
      </w:pPr>
      <w:r>
        <w:t xml:space="preserve">c) zestawieniu majątku gminy przeznaczonego do sprzedaży, dzierżawy i wieczystego użytkowania </w:t>
      </w:r>
    </w:p>
    <w:p w14:paraId="414552D5" w14:textId="77777777" w:rsidR="0037420C" w:rsidRDefault="0037420C" w:rsidP="0037420C">
      <w:pPr>
        <w:ind w:left="1440"/>
      </w:pPr>
      <w:r>
        <w:t xml:space="preserve">d) określonym wskaźniku inflacji </w:t>
      </w:r>
      <w:r>
        <w:br/>
      </w:r>
    </w:p>
    <w:p w14:paraId="1B878E65" w14:textId="77777777" w:rsidR="0037420C" w:rsidRDefault="0037420C" w:rsidP="0037420C">
      <w:r>
        <w:t xml:space="preserve">2.. Wielkość subwencji ogólnej w części oświatowej i równoważącej wg wielkości określonej przez Ministra Finansów. </w:t>
      </w:r>
    </w:p>
    <w:p w14:paraId="3A6E8A70" w14:textId="77777777" w:rsidR="0037420C" w:rsidRDefault="0037420C" w:rsidP="0037420C"/>
    <w:p w14:paraId="3DC1CB0C" w14:textId="77777777" w:rsidR="0037420C" w:rsidRDefault="0037420C" w:rsidP="0037420C">
      <w:r>
        <w:t xml:space="preserve">3. Wielkość udziałów w podatku dochodowym od osób fizycznych stanowiących dochód budżetu państwa w oparciu o szacunki określone przez ministra Finansów. </w:t>
      </w:r>
      <w:r>
        <w:br/>
      </w:r>
    </w:p>
    <w:p w14:paraId="4E975577" w14:textId="77777777" w:rsidR="0037420C" w:rsidRDefault="0037420C" w:rsidP="0037420C">
      <w:r>
        <w:t xml:space="preserve">4 .Dotacji </w:t>
      </w:r>
      <w:proofErr w:type="spellStart"/>
      <w:r>
        <w:t>celowych-zgodnie</w:t>
      </w:r>
      <w:proofErr w:type="spellEnd"/>
      <w:r>
        <w:t xml:space="preserve"> z wielkościami określonymi przez Wojewodę Kujawsko-Pomorskiego </w:t>
      </w:r>
      <w:r>
        <w:br/>
      </w:r>
    </w:p>
    <w:p w14:paraId="1EB6825C" w14:textId="77777777" w:rsidR="0037420C" w:rsidRDefault="0037420C" w:rsidP="0037420C">
      <w:r>
        <w:t xml:space="preserve">5. Ustala się terminy przekazywania dochodów realizowanych przez jednostki budżetowe Gminy na r-k budżetu Gminy nie rzadziej niż: </w:t>
      </w:r>
      <w:r>
        <w:br/>
      </w:r>
    </w:p>
    <w:p w14:paraId="5AB3CBE0" w14:textId="77777777" w:rsidR="0037420C" w:rsidRDefault="0037420C" w:rsidP="0037420C">
      <w:r>
        <w:t xml:space="preserve">- do końca danego miesiąca za okres od 1 do 25 dnia danego m-ca, </w:t>
      </w:r>
    </w:p>
    <w:p w14:paraId="3EA14304" w14:textId="77777777" w:rsidR="0037420C" w:rsidRDefault="0037420C" w:rsidP="0037420C">
      <w:r>
        <w:t xml:space="preserve">- ostateczne rozliczenie danego m-ca w terminie do 5 dnia następnego m-ca </w:t>
      </w:r>
      <w:r>
        <w:rPr>
          <w:u w:val="single"/>
        </w:rPr>
        <w:t xml:space="preserve">za wyjątkiem m-ca grudnia, w którym wszystkie uzyskane dochody winny być odprowadzone na r-k budżetu gminy do dnia 31 grudnia </w:t>
      </w:r>
      <w:r>
        <w:rPr>
          <w:u w:val="single"/>
        </w:rPr>
        <w:br/>
      </w:r>
      <w:r>
        <w:br/>
      </w:r>
    </w:p>
    <w:p w14:paraId="4B94C6D8" w14:textId="77777777" w:rsidR="0037420C" w:rsidRDefault="0037420C" w:rsidP="0037420C">
      <w:r>
        <w:rPr>
          <w:sz w:val="32"/>
          <w:szCs w:val="32"/>
        </w:rPr>
        <w:t>IV .WYDATKI</w:t>
      </w:r>
      <w:r>
        <w:t xml:space="preserve"> :</w:t>
      </w:r>
    </w:p>
    <w:p w14:paraId="259D36DE" w14:textId="77777777" w:rsidR="0037420C" w:rsidRDefault="0037420C" w:rsidP="0037420C"/>
    <w:p w14:paraId="1B4EB9CB" w14:textId="77777777" w:rsidR="0037420C" w:rsidRDefault="0037420C" w:rsidP="0037420C">
      <w:r>
        <w:rPr>
          <w:b/>
        </w:rPr>
        <w:t>Wydatki bieżące:</w:t>
      </w:r>
      <w:r>
        <w:br/>
        <w:t>Wydatki bieżące planowane na 2020 rok na poziomie przewidywanego wykonania w roku 2019.</w:t>
      </w:r>
    </w:p>
    <w:p w14:paraId="363A5DBD" w14:textId="77777777" w:rsidR="0037420C" w:rsidRDefault="0037420C" w:rsidP="0037420C">
      <w:r>
        <w:t xml:space="preserve">Przy planowaniu wydatków bieżących przyjmuje się zaktualizowane uwarunkowania, które będą uwzględnione w wieloletniej prognozie finansowej oraz dodatkowo następujące założenia: </w:t>
      </w:r>
      <w:r>
        <w:br/>
      </w:r>
    </w:p>
    <w:p w14:paraId="782AEFF4" w14:textId="77777777" w:rsidR="0037420C" w:rsidRDefault="0037420C" w:rsidP="0037420C">
      <w:r>
        <w:t>1. na rok 2020 zakłada się podwyżki dla pracowników zatrudnionych na podstawie Karty Nauczyciela według  wytycznych Ministra Finansów oraz Ministra Edukacji Narodowej.</w:t>
      </w:r>
    </w:p>
    <w:p w14:paraId="22444ABE" w14:textId="77777777" w:rsidR="0037420C" w:rsidRDefault="0037420C" w:rsidP="0037420C">
      <w:r>
        <w:t>Odpis na ZFŚS dla nauczycieli w wysokości ustalonej jako iloczyn planowanej, przeciętnej liczby nauczycieli w pełnym i niepełnym wymiarze Zajęć ( po przeliczeniu na pełny wymiar zajęć) i 110% kwoty bazowej, określonej dla pracowników państwowej sfery budżetowej.</w:t>
      </w:r>
      <w:r>
        <w:br/>
        <w:t>2. w roku 2020 przewiduje się rezerwę na poziomie 5% wynagrodzeń pracowników samorządowych  (nie zatrudnionych na podstawie Karty Nauczyciela), przyjmuje się, że najniższe wynagrodzenie w 2020 roku będzie wynosiło 2 450,00 brutto zł;</w:t>
      </w:r>
    </w:p>
    <w:p w14:paraId="30F43277" w14:textId="77777777" w:rsidR="0037420C" w:rsidRDefault="0037420C" w:rsidP="0037420C">
      <w:r>
        <w:lastRenderedPageBreak/>
        <w:t>Odpis na ZFŚS w wysokości 37,5% przeciętnego wynagrodzenia w gospodarce narodowej w roku poprzednim lub w drugim półroczu roku poprzedniego ; odpis tworzy się w stosunku do przeciętnej liczby zatrudnionych.</w:t>
      </w:r>
    </w:p>
    <w:p w14:paraId="2340D819" w14:textId="77777777" w:rsidR="0037420C" w:rsidRDefault="0037420C" w:rsidP="0037420C">
      <w:r>
        <w:t xml:space="preserve">3. w zakresie zadań realizowanych w ramach wydatków bieżących i dotacji dla instytucji kultury, oraz dodatków mieszkaniowych zakłada się planowanie na poziomie wykonania roku 2020. </w:t>
      </w:r>
    </w:p>
    <w:p w14:paraId="09AEFAE5" w14:textId="77777777" w:rsidR="0037420C" w:rsidRDefault="0037420C" w:rsidP="0037420C">
      <w:r>
        <w:t xml:space="preserve">4. Dotacje dla niepublicznych placówek oświatowych planuje się na poziomie roku 2019. </w:t>
      </w:r>
    </w:p>
    <w:p w14:paraId="18DBE56E" w14:textId="77777777" w:rsidR="0037420C" w:rsidRDefault="0037420C" w:rsidP="0037420C"/>
    <w:p w14:paraId="46FD7651" w14:textId="77777777" w:rsidR="0037420C" w:rsidRDefault="0037420C" w:rsidP="0037420C"/>
    <w:p w14:paraId="04B0D49A" w14:textId="77777777" w:rsidR="0037420C" w:rsidRDefault="0037420C" w:rsidP="0037420C">
      <w:r>
        <w:t xml:space="preserve">W przypadku planowania wielkości </w:t>
      </w:r>
      <w:r>
        <w:rPr>
          <w:u w:val="single"/>
        </w:rPr>
        <w:t xml:space="preserve">odbiegających </w:t>
      </w:r>
      <w:r>
        <w:t xml:space="preserve">od wykonania w roku poprzedzającym projektowany rok budżetowy lub od wielkości określonych przez Wójta gminy w parametrach planistycznych, określić należy zakres wykonywanych zadań oraz </w:t>
      </w:r>
      <w:r>
        <w:rPr>
          <w:b/>
          <w:bCs/>
          <w:u w:val="single"/>
        </w:rPr>
        <w:t>uzasadnić potrzeby finansowe</w:t>
      </w:r>
      <w:r>
        <w:t xml:space="preserve"> na ich realizację.</w:t>
      </w:r>
    </w:p>
    <w:p w14:paraId="0ED8BCE3" w14:textId="77777777" w:rsidR="0037420C" w:rsidRDefault="0037420C" w:rsidP="0037420C">
      <w:r>
        <w:t>Jednostki organizacyjne przedkładają stan zatrudnienia wraz z kalkulacją funduszu wynagrodzeń wyodrębniając stałe elementy wynagrodzenia i świadczenia jednorazowe/odprawy emerytalne, nagrody jubileuszowe/.</w:t>
      </w:r>
    </w:p>
    <w:p w14:paraId="2BD318FF" w14:textId="77777777" w:rsidR="0037420C" w:rsidRDefault="0037420C" w:rsidP="0037420C">
      <w:r>
        <w:t xml:space="preserve">Podstawą kalkulacji jest stawka osobistego zaszeregowania na dzień 30 września oraz dla placówek oświatowych zatwierdzony arkusz organizacyjny placówki. </w:t>
      </w:r>
    </w:p>
    <w:p w14:paraId="5C72C1E1" w14:textId="77777777" w:rsidR="0037420C" w:rsidRDefault="0037420C" w:rsidP="0037420C"/>
    <w:p w14:paraId="3984CD60" w14:textId="77777777" w:rsidR="0037420C" w:rsidRDefault="0037420C" w:rsidP="0037420C">
      <w:r>
        <w:t xml:space="preserve">W placówkach zatrudniających pracowników na podstawie Karty nauczyciela należy wyodrębnić: </w:t>
      </w:r>
      <w:r>
        <w:br/>
        <w:t xml:space="preserve">-pracowników zatrudnionych na podstawie Karty Nauczyciela </w:t>
      </w:r>
      <w:r>
        <w:br/>
        <w:t xml:space="preserve">-pracowników administracji, </w:t>
      </w:r>
      <w:r>
        <w:br/>
        <w:t xml:space="preserve">-pracowników obsługi </w:t>
      </w:r>
      <w:r>
        <w:br/>
        <w:t xml:space="preserve">ponadto dane porównujące stany z rokiem poprzednim: </w:t>
      </w:r>
      <w:r>
        <w:br/>
        <w:t xml:space="preserve">- średnią liczbę uczniów </w:t>
      </w:r>
      <w:r>
        <w:br/>
        <w:t xml:space="preserve">-średnią liczbę oddziałów </w:t>
      </w:r>
      <w:r>
        <w:br/>
        <w:t>Zadania realizowane przez placówki oświatowe odbywać się będą w ramach subwencji oświatowej .</w:t>
      </w:r>
    </w:p>
    <w:p w14:paraId="36C7A049" w14:textId="77777777" w:rsidR="0037420C" w:rsidRDefault="0037420C" w:rsidP="0037420C">
      <w:pPr>
        <w:rPr>
          <w:b/>
        </w:rPr>
      </w:pPr>
    </w:p>
    <w:p w14:paraId="235CE424" w14:textId="77777777" w:rsidR="0037420C" w:rsidRDefault="0037420C" w:rsidP="0037420C">
      <w:r>
        <w:rPr>
          <w:b/>
        </w:rPr>
        <w:t>Inwestycje</w:t>
      </w:r>
      <w:r>
        <w:br/>
        <w:t xml:space="preserve">Podstawą opracowania planu inwestycyjnego na 2020 rok ,będzie wieloletnia prognoza finansowa oraz niezbędne zadania roczne, głównie dofinansowywane za środków zewnętrznych. </w:t>
      </w:r>
      <w:r>
        <w:br/>
      </w:r>
    </w:p>
    <w:p w14:paraId="3DA907D4" w14:textId="77777777" w:rsidR="0037420C" w:rsidRDefault="0037420C" w:rsidP="0037420C">
      <w:r>
        <w:rPr>
          <w:b/>
        </w:rPr>
        <w:t xml:space="preserve">Zakłada się utworzenie następujących rezerw budżetowych: </w:t>
      </w:r>
      <w:r>
        <w:br/>
        <w:t xml:space="preserve">-rezerwa ogólna na wydatki bieżące do 1% wydatków ogółem; </w:t>
      </w:r>
      <w:r>
        <w:br/>
        <w:t xml:space="preserve">-zarządzanie kryzysowe (nie mniej niż 0,5% wydatków ogółem pomniejszonych o wydatki inwestycyjne, wydatki na wynagrodzenia i pochodne oaz wydatki na obsługę długu) </w:t>
      </w:r>
      <w:r>
        <w:br/>
      </w:r>
    </w:p>
    <w:p w14:paraId="189E2630" w14:textId="77777777" w:rsidR="0037420C" w:rsidRDefault="0037420C" w:rsidP="0037420C">
      <w:r>
        <w:rPr>
          <w:b/>
          <w:sz w:val="32"/>
          <w:szCs w:val="32"/>
        </w:rPr>
        <w:t>V. PLANOWANY DEFICYT</w:t>
      </w:r>
      <w:r>
        <w:t xml:space="preserve"> </w:t>
      </w:r>
    </w:p>
    <w:p w14:paraId="062BAE92" w14:textId="77777777" w:rsidR="0037420C" w:rsidRDefault="0037420C" w:rsidP="0037420C">
      <w:r>
        <w:br/>
        <w:t xml:space="preserve">Zakłada się, że planowane dochody w 2020 roku będą niższe od planowanych wydatków, co stanowić będzie planowany deficyt. </w:t>
      </w:r>
      <w:r>
        <w:br/>
        <w:t xml:space="preserve">Wysokość deficytu związana będzie z zadaniami inwestycyjnymi gminy wynikającymi z wieloletniej prognozy finansowej Gminy Choceń oraz inwestycyjnymi zadaniami rocznymi i pokryty zostanie przychodami pochodzącymi z wolnych środków, pożyczek i kredytów. </w:t>
      </w:r>
      <w:r>
        <w:br/>
      </w:r>
    </w:p>
    <w:p w14:paraId="54D4D42E" w14:textId="77777777" w:rsidR="0037420C" w:rsidRDefault="0037420C" w:rsidP="0037420C">
      <w:r>
        <w:rPr>
          <w:b/>
          <w:sz w:val="32"/>
          <w:szCs w:val="32"/>
        </w:rPr>
        <w:t>VI. SPŁATA ZADŁUŻENIA</w:t>
      </w:r>
      <w:r>
        <w:t xml:space="preserve"> </w:t>
      </w:r>
    </w:p>
    <w:p w14:paraId="03DCCAF2" w14:textId="77777777" w:rsidR="0037420C" w:rsidRDefault="0037420C" w:rsidP="0037420C">
      <w:r>
        <w:lastRenderedPageBreak/>
        <w:br/>
        <w:t xml:space="preserve">Spłata zadłużenia następować będzie zgodnie z harmonogramem spłaty kredytów i pożyczek. </w:t>
      </w:r>
      <w:r>
        <w:br/>
      </w:r>
    </w:p>
    <w:p w14:paraId="48625E69" w14:textId="77777777" w:rsidR="0037420C" w:rsidRDefault="0037420C" w:rsidP="0037420C">
      <w:pPr>
        <w:rPr>
          <w:b/>
          <w:sz w:val="32"/>
          <w:szCs w:val="32"/>
        </w:rPr>
      </w:pPr>
    </w:p>
    <w:p w14:paraId="00CCBA57" w14:textId="77777777" w:rsidR="0037420C" w:rsidRDefault="0037420C" w:rsidP="0037420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VI .OPRACOWYWANIE PROJEKTU WIELOLETNIEJ PROGNOZY FINANSOWEJ </w:t>
      </w:r>
      <w:r>
        <w:rPr>
          <w:b/>
          <w:sz w:val="32"/>
          <w:szCs w:val="32"/>
        </w:rPr>
        <w:br/>
      </w:r>
    </w:p>
    <w:p w14:paraId="49154710" w14:textId="77777777" w:rsidR="0037420C" w:rsidRDefault="0037420C" w:rsidP="0037420C">
      <w:pPr>
        <w:ind w:left="360" w:hanging="360"/>
      </w:pPr>
      <w:r>
        <w:t xml:space="preserve">1. Jednostki/wydziały/ w terminach określonych dla opracowywania budżetu przekazują kwoty wydatków bieżących dla opracowywania projektu budżetu przekazują kwoty wydatków bieżących i majątkowych wynikające z limitów wydatków na realizowane i projektowane przedsięwzięcia dla każdego roku objętego prognozą, z wyodrębnieniem wydatków na wynagrodzenia i składki od nich naliczane oraz wydatki związane z funkcjonowaniem organów </w:t>
      </w:r>
      <w:proofErr w:type="spellStart"/>
      <w:r>
        <w:t>jst</w:t>
      </w:r>
      <w:proofErr w:type="spellEnd"/>
      <w:r>
        <w:t xml:space="preserve">. </w:t>
      </w:r>
    </w:p>
    <w:p w14:paraId="50541824" w14:textId="77777777" w:rsidR="0037420C" w:rsidRDefault="0037420C" w:rsidP="0037420C">
      <w:r>
        <w:br/>
        <w:t>2. Ustala się okres prognozy na lata 2020-2034.</w:t>
      </w:r>
    </w:p>
    <w:p w14:paraId="452EEE86" w14:textId="77777777" w:rsidR="0037420C" w:rsidRDefault="0037420C" w:rsidP="0037420C">
      <w:r>
        <w:t xml:space="preserve">3.  Przez przedsięwzięcie należy rozumieć: </w:t>
      </w:r>
    </w:p>
    <w:p w14:paraId="34817587" w14:textId="77777777" w:rsidR="0037420C" w:rsidRDefault="0037420C" w:rsidP="0037420C">
      <w:pPr>
        <w:ind w:left="540"/>
      </w:pPr>
      <w:r>
        <w:br/>
        <w:t xml:space="preserve">1/projekty, programy lub zadania, w tym związane z programami finansowanymi z udziałem środków, o których mowa w art. 5 ust 1 pkt 2 i 3 ustawy o finansach publicznych </w:t>
      </w:r>
      <w:r>
        <w:br/>
        <w:t xml:space="preserve">2/ umowy, których realizacja w roku budżetowym i w latach następnych jest niezbędną do zapewnienia ciągłości działania jednostki i z których wynikające płatności wykraczają poza rok budżetowy, </w:t>
      </w:r>
      <w:r>
        <w:br/>
        <w:t xml:space="preserve">3/ gwarancje i poręczenia udzielone przez </w:t>
      </w:r>
      <w:proofErr w:type="spellStart"/>
      <w:r>
        <w:t>jst</w:t>
      </w:r>
      <w:proofErr w:type="spellEnd"/>
      <w:r>
        <w:t xml:space="preserve">. </w:t>
      </w:r>
    </w:p>
    <w:p w14:paraId="658696A1" w14:textId="77777777" w:rsidR="0037420C" w:rsidRDefault="0037420C" w:rsidP="0037420C">
      <w:r>
        <w:br/>
      </w:r>
    </w:p>
    <w:p w14:paraId="524F73CE" w14:textId="77777777" w:rsidR="00334062" w:rsidRDefault="00334062">
      <w:bookmarkStart w:id="0" w:name="_GoBack"/>
      <w:bookmarkEnd w:id="0"/>
    </w:p>
    <w:sectPr w:rsidR="00334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C84"/>
    <w:rsid w:val="00004B2A"/>
    <w:rsid w:val="00190C84"/>
    <w:rsid w:val="00334062"/>
    <w:rsid w:val="0037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9F4D0-1D5D-43F5-BFCB-2075B875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74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7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1132</Words>
  <Characters>6792</Characters>
  <Application>Microsoft Office Word</Application>
  <DocSecurity>0</DocSecurity>
  <Lines>56</Lines>
  <Paragraphs>15</Paragraphs>
  <ScaleCrop>false</ScaleCrop>
  <Company/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Skarbnik-Beata</dc:creator>
  <cp:keywords/>
  <dc:description/>
  <cp:lastModifiedBy>Skarbnik-Beata</cp:lastModifiedBy>
  <cp:revision>2</cp:revision>
  <dcterms:created xsi:type="dcterms:W3CDTF">2019-09-26T07:36:00Z</dcterms:created>
  <dcterms:modified xsi:type="dcterms:W3CDTF">2019-09-26T07:36:00Z</dcterms:modified>
</cp:coreProperties>
</file>